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DC" w:rsidRPr="000E5507" w:rsidRDefault="00DE47DC" w:rsidP="000E5507">
      <w:pPr>
        <w:contextualSpacing/>
        <w:jc w:val="center"/>
        <w:rPr>
          <w:rFonts w:ascii="Times New Roman" w:hAnsi="Times New Roman"/>
          <w:b/>
          <w:sz w:val="28"/>
          <w:szCs w:val="28"/>
        </w:rPr>
      </w:pPr>
      <w:bookmarkStart w:id="0" w:name="_GoBack"/>
      <w:r w:rsidRPr="000E5507">
        <w:rPr>
          <w:rFonts w:ascii="Times New Roman" w:hAnsi="Times New Roman"/>
          <w:b/>
          <w:sz w:val="28"/>
          <w:szCs w:val="28"/>
        </w:rPr>
        <w:t>Основные права профсоюзов</w:t>
      </w:r>
    </w:p>
    <w:bookmarkEnd w:id="0"/>
    <w:p w:rsidR="00DE47DC" w:rsidRPr="000E5507" w:rsidRDefault="00DE47DC" w:rsidP="000E5507">
      <w:pPr>
        <w:contextualSpacing/>
        <w:jc w:val="both"/>
        <w:rPr>
          <w:rFonts w:ascii="Times New Roman" w:hAnsi="Times New Roman"/>
          <w:b/>
          <w:sz w:val="28"/>
          <w:szCs w:val="28"/>
        </w:rPr>
      </w:pP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Глава II. Основные права профсоюзов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11. Право профсоюзов на представительство и защиту социально-трудовых прав и интересов работников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1. </w:t>
      </w:r>
      <w:proofErr w:type="gramStart"/>
      <w:r w:rsidRPr="000E5507">
        <w:rPr>
          <w:rFonts w:ascii="Times New Roman" w:hAnsi="Times New Roman"/>
          <w:sz w:val="28"/>
          <w:szCs w:val="28"/>
        </w:rPr>
        <w:t>Профсоюзы, их объединения (ассоциации), первичные профсоюзные организации и их органы представляют и защищают права и интересы</w:t>
      </w:r>
      <w:r w:rsidR="00E25087">
        <w:rPr>
          <w:rFonts w:ascii="Times New Roman" w:hAnsi="Times New Roman"/>
          <w:sz w:val="28"/>
          <w:szCs w:val="28"/>
        </w:rPr>
        <w:t xml:space="preserve"> </w:t>
      </w:r>
      <w:r w:rsidRPr="000E5507">
        <w:rPr>
          <w:rFonts w:ascii="Times New Roman" w:hAnsi="Times New Roman"/>
          <w:sz w:val="28"/>
          <w:szCs w:val="28"/>
        </w:rPr>
        <w:t>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w:t>
      </w:r>
      <w:r w:rsidR="00E25087">
        <w:rPr>
          <w:rFonts w:ascii="Times New Roman" w:hAnsi="Times New Roman"/>
          <w:sz w:val="28"/>
          <w:szCs w:val="28"/>
        </w:rPr>
        <w:t xml:space="preserve"> </w:t>
      </w:r>
      <w:r w:rsidRPr="000E5507">
        <w:rPr>
          <w:rFonts w:ascii="Times New Roman" w:hAnsi="Times New Roman"/>
          <w:sz w:val="28"/>
          <w:szCs w:val="28"/>
        </w:rPr>
        <w:t xml:space="preserve">минимального </w:t>
      </w:r>
      <w:proofErr w:type="gramStart"/>
      <w:r w:rsidRPr="000E5507">
        <w:rPr>
          <w:rFonts w:ascii="Times New Roman" w:hAnsi="Times New Roman"/>
          <w:sz w:val="28"/>
          <w:szCs w:val="28"/>
        </w:rPr>
        <w:t>размера оплаты труда</w:t>
      </w:r>
      <w:proofErr w:type="gramEnd"/>
      <w:r w:rsidRPr="000E5507">
        <w:rPr>
          <w:rFonts w:ascii="Times New Roman" w:hAnsi="Times New Roman"/>
          <w:sz w:val="28"/>
          <w:szCs w:val="28"/>
        </w:rPr>
        <w:t>.</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5. Профсоюзные представители вправе беспрепятственно посещать организации и рабочие места, где работают члены соответствующих </w:t>
      </w:r>
      <w:r w:rsidRPr="000E5507">
        <w:rPr>
          <w:rFonts w:ascii="Times New Roman" w:hAnsi="Times New Roman"/>
          <w:sz w:val="28"/>
          <w:szCs w:val="28"/>
        </w:rPr>
        <w:lastRenderedPageBreak/>
        <w:t>профсоюзов, для реализации уставных задач и предоставленных профсоюзам прав.</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12. Право профсоюзов на содействие занятости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0E5507">
        <w:rPr>
          <w:rFonts w:ascii="Times New Roman" w:hAnsi="Times New Roman"/>
          <w:sz w:val="28"/>
          <w:szCs w:val="28"/>
        </w:rPr>
        <w:t>контроль за</w:t>
      </w:r>
      <w:proofErr w:type="gramEnd"/>
      <w:r w:rsidRPr="000E5507">
        <w:rPr>
          <w:rFonts w:ascii="Times New Roman" w:hAnsi="Times New Roman"/>
          <w:sz w:val="28"/>
          <w:szCs w:val="28"/>
        </w:rPr>
        <w:t xml:space="preserve"> занятостью и соблюдением законодательства в области занятости.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2. </w:t>
      </w:r>
      <w:proofErr w:type="gramStart"/>
      <w:r w:rsidRPr="000E5507">
        <w:rPr>
          <w:rFonts w:ascii="Times New Roman" w:hAnsi="Times New Roman"/>
          <w:sz w:val="28"/>
          <w:szCs w:val="28"/>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5. Привлечение и использование в Российской Федерации иностранной рабочей силы осуществляются с учетом мнения соответственно</w:t>
      </w:r>
      <w:r w:rsidR="00E25087">
        <w:rPr>
          <w:rFonts w:ascii="Times New Roman" w:hAnsi="Times New Roman"/>
          <w:sz w:val="28"/>
          <w:szCs w:val="28"/>
        </w:rPr>
        <w:t xml:space="preserve"> </w:t>
      </w:r>
      <w:r w:rsidRPr="000E5507">
        <w:rPr>
          <w:rFonts w:ascii="Times New Roman" w:hAnsi="Times New Roman"/>
          <w:sz w:val="28"/>
          <w:szCs w:val="28"/>
        </w:rPr>
        <w:t>общероссийских объединений (ассоциаций) профсоюзов или территориальных объединений (ассоциаций) организаций профсоюзов.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Об участии профсоюзов в содействии занятости населения см. Закон РФ от 19 апреля </w:t>
      </w:r>
      <w:smartTag w:uri="urn:schemas-microsoft-com:office:smarttags" w:element="metricconverter">
        <w:smartTagPr>
          <w:attr w:name="ProductID" w:val="1991 г"/>
        </w:smartTagPr>
        <w:r w:rsidRPr="000E5507">
          <w:rPr>
            <w:rFonts w:ascii="Times New Roman" w:hAnsi="Times New Roman"/>
            <w:sz w:val="28"/>
            <w:szCs w:val="28"/>
          </w:rPr>
          <w:t>1991 г</w:t>
        </w:r>
      </w:smartTag>
      <w:r w:rsidRPr="000E5507">
        <w:rPr>
          <w:rFonts w:ascii="Times New Roman" w:hAnsi="Times New Roman"/>
          <w:sz w:val="28"/>
          <w:szCs w:val="28"/>
        </w:rPr>
        <w:t>. "О занятости населения в Российской Федерации"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lastRenderedPageBreak/>
        <w:t>См. Генеральное соглашение между общероссийскими объединениями профсоюзов, общероссийскими объединениями работодателей и Правительством РФ на 2011-2013 годы</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Запрещается ведение переговоров и заключение соглашений и коллективных договоров от имени работников лицами, представляющими</w:t>
      </w:r>
      <w:r w:rsidR="00E25087">
        <w:rPr>
          <w:rFonts w:ascii="Times New Roman" w:hAnsi="Times New Roman"/>
          <w:sz w:val="28"/>
          <w:szCs w:val="28"/>
        </w:rPr>
        <w:t xml:space="preserve"> </w:t>
      </w:r>
      <w:r w:rsidRPr="000E5507">
        <w:rPr>
          <w:rFonts w:ascii="Times New Roman" w:hAnsi="Times New Roman"/>
          <w:sz w:val="28"/>
          <w:szCs w:val="28"/>
        </w:rPr>
        <w:t>работодателя.</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gramStart"/>
      <w:r w:rsidR="00E25087" w:rsidRPr="000E5507">
        <w:rPr>
          <w:rFonts w:ascii="Times New Roman" w:hAnsi="Times New Roman"/>
          <w:sz w:val="28"/>
          <w:szCs w:val="28"/>
        </w:rPr>
        <w:t>не достижения</w:t>
      </w:r>
      <w:proofErr w:type="gramEnd"/>
      <w:r w:rsidRPr="000E5507">
        <w:rPr>
          <w:rFonts w:ascii="Times New Roman" w:hAnsi="Times New Roman"/>
          <w:sz w:val="28"/>
          <w:szCs w:val="28"/>
        </w:rPr>
        <w:t xml:space="preserve"> соглашения в указанный срок разногласия рассматриваются в соответствии с федеральным законом.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14. Право профсоюзов на участие в урегулировании коллективных трудовых споров</w:t>
      </w:r>
      <w:r>
        <w:rPr>
          <w:rFonts w:ascii="Times New Roman" w:hAnsi="Times New Roman"/>
          <w:b/>
          <w:sz w:val="28"/>
          <w:szCs w:val="28"/>
        </w:rPr>
        <w:t>.</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w:t>
      </w:r>
      <w:r w:rsidRPr="000E5507">
        <w:rPr>
          <w:rFonts w:ascii="Times New Roman" w:hAnsi="Times New Roman"/>
          <w:sz w:val="28"/>
          <w:szCs w:val="28"/>
        </w:rPr>
        <w:lastRenderedPageBreak/>
        <w:t>демонстраций, пикетирования и других коллективных действий, используя их как средство защиты социально-трудовых прав и интересов работников.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r>
        <w:rPr>
          <w:rFonts w:ascii="Times New Roman" w:hAnsi="Times New Roman"/>
          <w:b/>
          <w:sz w:val="28"/>
          <w:szCs w:val="28"/>
        </w:rPr>
        <w:t>.</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lastRenderedPageBreak/>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Профсоюзы по уполномочию работников вправе иметь своих представителей в коллегиальных органах управления организацией.</w:t>
      </w:r>
    </w:p>
    <w:p w:rsidR="00DE47DC" w:rsidRDefault="00DE47DC" w:rsidP="000E5507">
      <w:pPr>
        <w:contextualSpacing/>
        <w:jc w:val="both"/>
        <w:rPr>
          <w:rFonts w:ascii="Times New Roman" w:hAnsi="Times New Roman"/>
          <w:sz w:val="28"/>
          <w:szCs w:val="28"/>
        </w:rPr>
      </w:pPr>
      <w:r w:rsidRPr="000E5507">
        <w:rPr>
          <w:rFonts w:ascii="Times New Roman" w:hAnsi="Times New Roman"/>
          <w:sz w:val="28"/>
          <w:szCs w:val="28"/>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DE47DC" w:rsidRPr="000E5507" w:rsidRDefault="00DE47DC" w:rsidP="000E5507">
      <w:pPr>
        <w:contextualSpacing/>
        <w:jc w:val="both"/>
        <w:rPr>
          <w:rFonts w:ascii="Times New Roman" w:hAnsi="Times New Roman"/>
          <w:sz w:val="28"/>
          <w:szCs w:val="28"/>
        </w:rPr>
      </w:pP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17. Право профсоюзов на информацию</w:t>
      </w:r>
      <w:r>
        <w:rPr>
          <w:rFonts w:ascii="Times New Roman" w:hAnsi="Times New Roman"/>
          <w:b/>
          <w:sz w:val="28"/>
          <w:szCs w:val="28"/>
        </w:rPr>
        <w:t>.</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О порядке учреждения средств массовой информации см. Закон РФ от 27 декабря 1991 г. N 2124-1</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Информация об изменениях: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Федеральным законом от 2 июля 2013 г. N 185-ФЗ в статью 18 настоящего Федерального закона внесены изменения, вступающие в силу с 1 сентября 2013 г.</w:t>
      </w:r>
    </w:p>
    <w:p w:rsidR="00DE47DC" w:rsidRDefault="00DE47DC" w:rsidP="000E5507">
      <w:pPr>
        <w:contextualSpacing/>
        <w:jc w:val="both"/>
        <w:rPr>
          <w:rFonts w:ascii="Times New Roman" w:hAnsi="Times New Roman"/>
          <w:sz w:val="28"/>
          <w:szCs w:val="28"/>
        </w:rPr>
      </w:pPr>
      <w:r w:rsidRPr="000E5507">
        <w:rPr>
          <w:rFonts w:ascii="Times New Roman" w:hAnsi="Times New Roman"/>
          <w:sz w:val="28"/>
          <w:szCs w:val="28"/>
        </w:rPr>
        <w:t>См. текст статьи в предыдущей редакции</w:t>
      </w:r>
    </w:p>
    <w:p w:rsidR="00DE47DC" w:rsidRPr="000E5507" w:rsidRDefault="00DE47DC" w:rsidP="000E5507">
      <w:pPr>
        <w:contextualSpacing/>
        <w:jc w:val="both"/>
        <w:rPr>
          <w:rFonts w:ascii="Times New Roman" w:hAnsi="Times New Roman"/>
          <w:sz w:val="28"/>
          <w:szCs w:val="28"/>
        </w:rPr>
      </w:pP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18. Право профсоюзов на участие в подготовке и дополнительном профессиональном образовании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lastRenderedPageBreak/>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19. Право профсоюзов на осуществление профсоюзного контроля за соблюдением законодательства о труде</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1. </w:t>
      </w:r>
      <w:proofErr w:type="gramStart"/>
      <w:r w:rsidRPr="000E5507">
        <w:rPr>
          <w:rFonts w:ascii="Times New Roman" w:hAnsi="Times New Roman"/>
          <w:sz w:val="28"/>
          <w:szCs w:val="28"/>
        </w:rPr>
        <w:t>Профсоюзы имеют право на осуществление профсоюзного контроля за соблюдением работодателями, должностными лицами</w:t>
      </w:r>
      <w:r w:rsidR="00E25087">
        <w:rPr>
          <w:rFonts w:ascii="Times New Roman" w:hAnsi="Times New Roman"/>
          <w:sz w:val="28"/>
          <w:szCs w:val="28"/>
        </w:rPr>
        <w:t xml:space="preserve"> </w:t>
      </w:r>
      <w:r w:rsidRPr="000E5507">
        <w:rPr>
          <w:rFonts w:ascii="Times New Roman" w:hAnsi="Times New Roman"/>
          <w:sz w:val="28"/>
          <w:szCs w:val="28"/>
        </w:rPr>
        <w:t>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0E5507">
        <w:rPr>
          <w:rFonts w:ascii="Times New Roman" w:hAnsi="Times New Roman"/>
          <w:sz w:val="28"/>
          <w:szCs w:val="28"/>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См. Типовое положение о правовой инспекции труда профсоюзов, утвержденное постановлением Исполкома Федерации независимых профсоюзов России от 22 ноября 2011 г. N 7-15</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Профсоюзы,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Информация об изменениях: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Федеральным законом от 30 декабря 2008 г. N 309-ФЗ в статью 20 настоящего Федерального закона внесены изменения</w:t>
      </w:r>
    </w:p>
    <w:p w:rsidR="00DE47DC"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Default="00DE47DC" w:rsidP="000E5507">
      <w:pPr>
        <w:contextualSpacing/>
        <w:jc w:val="both"/>
        <w:rPr>
          <w:rFonts w:ascii="Times New Roman" w:hAnsi="Times New Roman"/>
          <w:sz w:val="28"/>
          <w:szCs w:val="28"/>
        </w:rPr>
      </w:pPr>
    </w:p>
    <w:p w:rsidR="00DE47DC" w:rsidRPr="000E5507" w:rsidRDefault="00DE47DC" w:rsidP="000E5507">
      <w:pPr>
        <w:contextualSpacing/>
        <w:jc w:val="both"/>
        <w:rPr>
          <w:rFonts w:ascii="Times New Roman" w:hAnsi="Times New Roman"/>
          <w:sz w:val="28"/>
          <w:szCs w:val="28"/>
        </w:rPr>
      </w:pP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lastRenderedPageBreak/>
        <w:t>Статья 20. Права профсоюзов в области охраны труда и окружающей среды</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Информация об изменениях:</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Федеральным законом от 9 мая 2005 г. N 45-ФЗ в пункт 4 статьи 20 настоящего Кодекса внесены </w:t>
      </w:r>
      <w:proofErr w:type="spellStart"/>
      <w:r w:rsidRPr="000E5507">
        <w:rPr>
          <w:rFonts w:ascii="Times New Roman" w:hAnsi="Times New Roman"/>
          <w:sz w:val="28"/>
          <w:szCs w:val="28"/>
        </w:rPr>
        <w:t>изменения,вступающие</w:t>
      </w:r>
      <w:proofErr w:type="spellEnd"/>
      <w:r w:rsidRPr="000E5507">
        <w:rPr>
          <w:rFonts w:ascii="Times New Roman" w:hAnsi="Times New Roman"/>
          <w:sz w:val="28"/>
          <w:szCs w:val="28"/>
        </w:rPr>
        <w:t xml:space="preserve"> в силу по истечении девяноста дней после дня официального опубликования указанного Федерального закона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r w:rsidR="00E25087" w:rsidRPr="000E5507">
        <w:rPr>
          <w:rFonts w:ascii="Times New Roman" w:hAnsi="Times New Roman"/>
          <w:sz w:val="28"/>
          <w:szCs w:val="28"/>
        </w:rPr>
        <w:t xml:space="preserve">не </w:t>
      </w:r>
      <w:r w:rsidR="00E25087" w:rsidRPr="000E5507">
        <w:rPr>
          <w:rFonts w:ascii="Times New Roman" w:hAnsi="Times New Roman"/>
          <w:sz w:val="28"/>
          <w:szCs w:val="28"/>
        </w:rPr>
        <w:lastRenderedPageBreak/>
        <w:t>устранение</w:t>
      </w:r>
      <w:r w:rsidRPr="000E5507">
        <w:rPr>
          <w:rFonts w:ascii="Times New Roman" w:hAnsi="Times New Roman"/>
          <w:sz w:val="28"/>
          <w:szCs w:val="28"/>
        </w:rPr>
        <w:t xml:space="preserve"> нарушений несут ответственность, предусмотренную законодательством.</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21. Участие профсоюзов в осуществлении приватизации государственного и муниципального имущества</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DE47DC" w:rsidRDefault="00DE47DC" w:rsidP="000E5507">
      <w:pPr>
        <w:contextualSpacing/>
        <w:jc w:val="both"/>
        <w:rPr>
          <w:rFonts w:ascii="Times New Roman" w:hAnsi="Times New Roman"/>
          <w:sz w:val="28"/>
          <w:szCs w:val="28"/>
        </w:rPr>
      </w:pPr>
      <w:r w:rsidRPr="000E5507">
        <w:rPr>
          <w:rFonts w:ascii="Times New Roman" w:hAnsi="Times New Roman"/>
          <w:sz w:val="28"/>
          <w:szCs w:val="28"/>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DE47DC" w:rsidRPr="000E5507" w:rsidRDefault="00DE47DC" w:rsidP="000E5507">
      <w:pPr>
        <w:contextualSpacing/>
        <w:jc w:val="both"/>
        <w:rPr>
          <w:rFonts w:ascii="Times New Roman" w:hAnsi="Times New Roman"/>
          <w:sz w:val="28"/>
          <w:szCs w:val="28"/>
        </w:rPr>
      </w:pP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22. Права профсоюзов на социальную защиту работников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 xml:space="preserve"> </w:t>
      </w:r>
    </w:p>
    <w:p w:rsidR="00DE47DC" w:rsidRPr="000E5507" w:rsidRDefault="00DE47DC" w:rsidP="000E5507">
      <w:pPr>
        <w:contextualSpacing/>
        <w:jc w:val="both"/>
        <w:rPr>
          <w:rFonts w:ascii="Times New Roman" w:hAnsi="Times New Roman"/>
          <w:b/>
          <w:sz w:val="28"/>
          <w:szCs w:val="28"/>
        </w:rPr>
      </w:pPr>
      <w:r w:rsidRPr="000E5507">
        <w:rPr>
          <w:rFonts w:ascii="Times New Roman" w:hAnsi="Times New Roman"/>
          <w:b/>
          <w:sz w:val="28"/>
          <w:szCs w:val="28"/>
        </w:rPr>
        <w:t>Статья 23. Право профсоюзов на защиту интересов работников в органах по рассмотрению трудовых споров</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DE47DC" w:rsidRPr="000E5507" w:rsidRDefault="00DE47DC" w:rsidP="000E5507">
      <w:pPr>
        <w:contextualSpacing/>
        <w:jc w:val="both"/>
        <w:rPr>
          <w:rFonts w:ascii="Times New Roman" w:hAnsi="Times New Roman"/>
          <w:sz w:val="28"/>
          <w:szCs w:val="28"/>
        </w:rPr>
      </w:pPr>
      <w:r w:rsidRPr="000E5507">
        <w:rPr>
          <w:rFonts w:ascii="Times New Roman" w:hAnsi="Times New Roman"/>
          <w:sz w:val="28"/>
          <w:szCs w:val="28"/>
        </w:rPr>
        <w:lastRenderedPageBreak/>
        <w:t>Для защиты социально-трудовых и других гражданских прав и профессиональных интересов своих членов профсоюзы могут создавать</w:t>
      </w:r>
      <w:r>
        <w:rPr>
          <w:rFonts w:ascii="Times New Roman" w:hAnsi="Times New Roman"/>
          <w:sz w:val="28"/>
          <w:szCs w:val="28"/>
        </w:rPr>
        <w:t xml:space="preserve"> </w:t>
      </w:r>
      <w:r w:rsidRPr="000E5507">
        <w:rPr>
          <w:rFonts w:ascii="Times New Roman" w:hAnsi="Times New Roman"/>
          <w:sz w:val="28"/>
          <w:szCs w:val="28"/>
        </w:rPr>
        <w:t>юридические службы и консультации.</w:t>
      </w:r>
    </w:p>
    <w:sectPr w:rsidR="00DE47DC" w:rsidRPr="000E5507" w:rsidSect="00346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B7"/>
    <w:rsid w:val="000E5507"/>
    <w:rsid w:val="00346ED1"/>
    <w:rsid w:val="005B33CC"/>
    <w:rsid w:val="008E2AA2"/>
    <w:rsid w:val="00D779B8"/>
    <w:rsid w:val="00DB3CB7"/>
    <w:rsid w:val="00DE47DC"/>
    <w:rsid w:val="00DF0462"/>
    <w:rsid w:val="00E2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D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cp:revision>
  <dcterms:created xsi:type="dcterms:W3CDTF">2017-02-13T04:21:00Z</dcterms:created>
  <dcterms:modified xsi:type="dcterms:W3CDTF">2018-01-10T15:01:00Z</dcterms:modified>
</cp:coreProperties>
</file>